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C9" w:rsidRPr="007433B4" w:rsidRDefault="00C32BE6" w:rsidP="006B5BC9">
      <w:pPr>
        <w:pStyle w:val="Heading1"/>
        <w:rPr>
          <w:noProof/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6115050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C9" w:rsidRDefault="006B5BC9" w:rsidP="006B5BC9"/>
    <w:p w:rsidR="009A6B2B" w:rsidRPr="00D909CF" w:rsidRDefault="00D909CF" w:rsidP="009A6B2B">
      <w:pPr>
        <w:pStyle w:val="Heading1"/>
        <w:rPr>
          <w:rFonts w:cs="Arial"/>
          <w:sz w:val="32"/>
          <w:lang w:eastAsia="zh-CN"/>
        </w:rPr>
      </w:pPr>
      <w:r w:rsidRPr="00D909CF">
        <w:rPr>
          <w:rFonts w:eastAsia="MS Mincho" w:cs="Arial"/>
          <w:lang w:val="en-US" w:eastAsia="zh-CN"/>
        </w:rPr>
        <w:t>PRESS RELEASE</w:t>
      </w:r>
    </w:p>
    <w:p w:rsidR="009A6B2B" w:rsidRPr="00D909CF" w:rsidRDefault="009A6B2B" w:rsidP="009A6B2B">
      <w:pPr>
        <w:pStyle w:val="Header"/>
        <w:tabs>
          <w:tab w:val="clear" w:pos="4153"/>
          <w:tab w:val="clear" w:pos="8306"/>
        </w:tabs>
        <w:rPr>
          <w:i w:val="0"/>
          <w:sz w:val="28"/>
          <w:u w:val="none"/>
          <w:lang w:val="it-IT"/>
        </w:rPr>
      </w:pPr>
      <w:r w:rsidRPr="00D909CF">
        <w:rPr>
          <w:i w:val="0"/>
          <w:sz w:val="28"/>
          <w:u w:val="none"/>
          <w:lang w:val="it-IT"/>
        </w:rPr>
        <w:t>Pressemitteilung • Communiqué de Presse</w:t>
      </w:r>
      <w:r w:rsidR="00D909CF" w:rsidRPr="00D909CF">
        <w:rPr>
          <w:i w:val="0"/>
          <w:sz w:val="28"/>
          <w:u w:val="none"/>
          <w:lang w:val="it-IT"/>
        </w:rPr>
        <w:t xml:space="preserve"> • Comunicato Stampa</w:t>
      </w:r>
    </w:p>
    <w:p w:rsidR="006B5BC9" w:rsidRPr="00D909CF" w:rsidRDefault="006B5BC9" w:rsidP="006B5BC9">
      <w:pPr>
        <w:rPr>
          <w:lang w:val="it-IT"/>
        </w:rPr>
      </w:pPr>
    </w:p>
    <w:p w:rsidR="00FE48AA" w:rsidRPr="00D909CF" w:rsidRDefault="00FE48AA" w:rsidP="006B5BC9">
      <w:pPr>
        <w:rPr>
          <w:lang w:val="it-IT"/>
        </w:rPr>
      </w:pPr>
    </w:p>
    <w:p w:rsidR="00245625" w:rsidRPr="00AF5491" w:rsidRDefault="00245625" w:rsidP="00245625">
      <w:pPr>
        <w:pStyle w:val="Heading2"/>
        <w:rPr>
          <w:sz w:val="32"/>
        </w:rPr>
      </w:pPr>
      <w:r w:rsidRPr="00AF5491">
        <w:rPr>
          <w:bCs/>
          <w:sz w:val="32"/>
        </w:rPr>
        <w:t>Sundance add</w:t>
      </w:r>
      <w:r>
        <w:rPr>
          <w:bCs/>
          <w:sz w:val="32"/>
        </w:rPr>
        <w:t>s</w:t>
      </w:r>
      <w:r w:rsidRPr="00AF5491">
        <w:rPr>
          <w:bCs/>
          <w:sz w:val="32"/>
        </w:rPr>
        <w:t xml:space="preserve"> Xilinx’s</w:t>
      </w:r>
      <w:r w:rsidRPr="00AF5491">
        <w:rPr>
          <w:bCs/>
          <w:i/>
          <w:iCs/>
          <w:sz w:val="32"/>
        </w:rPr>
        <w:t xml:space="preserve"> </w:t>
      </w:r>
      <w:r>
        <w:rPr>
          <w:bCs/>
          <w:sz w:val="32"/>
        </w:rPr>
        <w:t xml:space="preserve">new </w:t>
      </w:r>
      <w:r w:rsidRPr="00245625">
        <w:rPr>
          <w:bCs/>
          <w:iCs/>
          <w:sz w:val="32"/>
        </w:rPr>
        <w:t>Kintex UltraScale</w:t>
      </w:r>
      <w:r w:rsidRPr="00AF5491">
        <w:rPr>
          <w:bCs/>
          <w:iCs/>
          <w:sz w:val="32"/>
        </w:rPr>
        <w:t xml:space="preserve"> </w:t>
      </w:r>
      <w:r>
        <w:rPr>
          <w:bCs/>
          <w:iCs/>
          <w:sz w:val="32"/>
        </w:rPr>
        <w:t xml:space="preserve">FPGA </w:t>
      </w:r>
      <w:r w:rsidRPr="00AF5491">
        <w:rPr>
          <w:bCs/>
          <w:iCs/>
          <w:sz w:val="32"/>
        </w:rPr>
        <w:t xml:space="preserve">to </w:t>
      </w:r>
      <w:r>
        <w:rPr>
          <w:bCs/>
          <w:iCs/>
          <w:sz w:val="32"/>
        </w:rPr>
        <w:t xml:space="preserve">its </w:t>
      </w:r>
      <w:r w:rsidRPr="00AF5491">
        <w:rPr>
          <w:bCs/>
          <w:sz w:val="32"/>
        </w:rPr>
        <w:t>EMC</w:t>
      </w:r>
      <w:r w:rsidRPr="00AF5491">
        <w:rPr>
          <w:bCs/>
          <w:sz w:val="32"/>
          <w:vertAlign w:val="superscript"/>
        </w:rPr>
        <w:t>2</w:t>
      </w:r>
      <w:r w:rsidRPr="00AF5491">
        <w:rPr>
          <w:bCs/>
          <w:sz w:val="32"/>
        </w:rPr>
        <w:t xml:space="preserve">-family of PCIe/104 </w:t>
      </w:r>
      <w:r>
        <w:rPr>
          <w:bCs/>
          <w:sz w:val="32"/>
        </w:rPr>
        <w:t>“OneBank” compatible I/O boards</w:t>
      </w:r>
    </w:p>
    <w:p w:rsidR="00245625" w:rsidRDefault="00245625">
      <w:pPr>
        <w:pStyle w:val="Heading2"/>
      </w:pPr>
    </w:p>
    <w:p w:rsidR="00245625" w:rsidRPr="00245625" w:rsidRDefault="00245625" w:rsidP="00245625">
      <w:pPr>
        <w:rPr>
          <w:b/>
          <w:bCs/>
          <w:iCs/>
          <w:sz w:val="24"/>
        </w:rPr>
      </w:pPr>
      <w:r w:rsidRPr="00245625">
        <w:rPr>
          <w:b/>
          <w:bCs/>
          <w:iCs/>
          <w:sz w:val="24"/>
        </w:rPr>
        <w:t>The new EMC</w:t>
      </w:r>
      <w:r w:rsidRPr="00245625">
        <w:rPr>
          <w:b/>
          <w:bCs/>
          <w:iCs/>
          <w:sz w:val="24"/>
          <w:vertAlign w:val="superscript"/>
        </w:rPr>
        <w:t>2</w:t>
      </w:r>
      <w:r w:rsidRPr="00245625">
        <w:rPr>
          <w:b/>
          <w:bCs/>
          <w:iCs/>
          <w:sz w:val="24"/>
        </w:rPr>
        <w:t>-KU35</w:t>
      </w:r>
      <w:r>
        <w:rPr>
          <w:b/>
          <w:bCs/>
          <w:iCs/>
          <w:sz w:val="24"/>
        </w:rPr>
        <w:t xml:space="preserve"> is a stackable FPGA m</w:t>
      </w:r>
      <w:r w:rsidRPr="00245625">
        <w:rPr>
          <w:b/>
          <w:bCs/>
          <w:iCs/>
          <w:sz w:val="24"/>
        </w:rPr>
        <w:t xml:space="preserve">odule with Gen2 PCI Express interfaces that are “OneBank” compatible </w:t>
      </w:r>
      <w:r>
        <w:rPr>
          <w:b/>
          <w:bCs/>
          <w:iCs/>
          <w:sz w:val="24"/>
        </w:rPr>
        <w:t>and has a VITA57.1 FMC I/O slot</w:t>
      </w:r>
      <w:r w:rsidRPr="00245625">
        <w:rPr>
          <w:b/>
          <w:bCs/>
          <w:iCs/>
          <w:sz w:val="24"/>
        </w:rPr>
        <w:t xml:space="preserve"> controlled by a Kintex UltraScale KU35 FPGA</w:t>
      </w:r>
      <w:r>
        <w:rPr>
          <w:b/>
          <w:bCs/>
          <w:iCs/>
          <w:sz w:val="24"/>
        </w:rPr>
        <w:t>,</w:t>
      </w:r>
      <w:r w:rsidRPr="00245625">
        <w:rPr>
          <w:b/>
          <w:bCs/>
          <w:iCs/>
          <w:sz w:val="24"/>
        </w:rPr>
        <w:t xml:space="preserve"> and </w:t>
      </w:r>
      <w:r>
        <w:rPr>
          <w:b/>
          <w:bCs/>
          <w:iCs/>
          <w:sz w:val="24"/>
        </w:rPr>
        <w:t xml:space="preserve">is </w:t>
      </w:r>
      <w:r w:rsidRPr="00245625">
        <w:rPr>
          <w:b/>
          <w:bCs/>
          <w:iCs/>
          <w:sz w:val="24"/>
        </w:rPr>
        <w:t>fully supported by the latest Xilinx Vivado tools.</w:t>
      </w:r>
    </w:p>
    <w:p w:rsidR="005F7205" w:rsidRDefault="005F7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682"/>
        <w:gridCol w:w="2389"/>
        <w:gridCol w:w="2389"/>
      </w:tblGrid>
      <w:tr w:rsidR="00D723D4" w:rsidTr="00245625">
        <w:tc>
          <w:tcPr>
            <w:tcW w:w="2407" w:type="dxa"/>
          </w:tcPr>
          <w:p w:rsidR="002D2C74" w:rsidRPr="002D2C74" w:rsidRDefault="002D2C74">
            <w:pPr>
              <w:rPr>
                <w:sz w:val="16"/>
                <w:szCs w:val="16"/>
              </w:rPr>
            </w:pPr>
            <w:r w:rsidRPr="002D2C74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130400" cy="972000"/>
                  <wp:effectExtent l="0" t="0" r="0" b="0"/>
                  <wp:docPr id="6" name="Picture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T003-1p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625" w:rsidRPr="002D2C74" w:rsidRDefault="00245625" w:rsidP="002D2C74">
            <w:pPr>
              <w:rPr>
                <w:sz w:val="16"/>
                <w:szCs w:val="16"/>
              </w:rPr>
            </w:pPr>
          </w:p>
          <w:p w:rsidR="002D2C74" w:rsidRPr="002D2C74" w:rsidRDefault="002D2C74" w:rsidP="002D2C74">
            <w:pPr>
              <w:rPr>
                <w:sz w:val="16"/>
                <w:szCs w:val="16"/>
              </w:rPr>
            </w:pPr>
            <w:r w:rsidRPr="002D2C74">
              <w:rPr>
                <w:sz w:val="16"/>
                <w:szCs w:val="16"/>
              </w:rPr>
              <w:t>Photocaption 1:</w:t>
            </w:r>
            <w:r>
              <w:rPr>
                <w:sz w:val="16"/>
                <w:szCs w:val="16"/>
              </w:rPr>
              <w:t xml:space="preserve"> Sundance’s KU35 SoM module</w:t>
            </w:r>
            <w:r w:rsidR="00207621">
              <w:rPr>
                <w:sz w:val="16"/>
                <w:szCs w:val="16"/>
              </w:rPr>
              <w:t xml:space="preserve"> with Xilinx Kintex Ultrascale FPGA</w:t>
            </w:r>
          </w:p>
        </w:tc>
        <w:tc>
          <w:tcPr>
            <w:tcW w:w="2407" w:type="dxa"/>
          </w:tcPr>
          <w:p w:rsidR="002D2C74" w:rsidRDefault="00D723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566000" cy="972000"/>
                  <wp:effectExtent l="0" t="0" r="0" b="0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T003-2p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3D4" w:rsidRDefault="00D723D4" w:rsidP="002D2C74">
            <w:pPr>
              <w:rPr>
                <w:sz w:val="16"/>
                <w:szCs w:val="16"/>
              </w:rPr>
            </w:pPr>
          </w:p>
          <w:p w:rsidR="002D2C74" w:rsidRPr="002D2C74" w:rsidRDefault="002D2C74" w:rsidP="00D72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Photocaption 2: </w:t>
            </w:r>
            <w:r w:rsidRPr="002D2C74">
              <w:rPr>
                <w:sz w:val="16"/>
                <w:szCs w:val="16"/>
              </w:rPr>
              <w:t xml:space="preserve">Sundance’s </w:t>
            </w:r>
            <w:r w:rsidR="00D723D4" w:rsidRPr="002D2C74">
              <w:rPr>
                <w:sz w:val="16"/>
                <w:szCs w:val="16"/>
              </w:rPr>
              <w:t>EMC</w:t>
            </w:r>
            <w:r w:rsidR="00D723D4" w:rsidRPr="002D2C74">
              <w:rPr>
                <w:sz w:val="16"/>
                <w:szCs w:val="16"/>
                <w:vertAlign w:val="superscript"/>
              </w:rPr>
              <w:t>2</w:t>
            </w:r>
            <w:r w:rsidR="00D723D4">
              <w:rPr>
                <w:sz w:val="16"/>
                <w:szCs w:val="16"/>
              </w:rPr>
              <w:t xml:space="preserve">-KU35 </w:t>
            </w:r>
            <w:r w:rsidRPr="002D2C74">
              <w:rPr>
                <w:sz w:val="16"/>
                <w:szCs w:val="16"/>
              </w:rPr>
              <w:t>“OneBank”</w:t>
            </w:r>
            <w:r w:rsidR="00D723D4" w:rsidRPr="00D723D4">
              <w:t xml:space="preserve"> </w:t>
            </w:r>
            <w:r w:rsidR="00D723D4" w:rsidRPr="00D723D4">
              <w:rPr>
                <w:sz w:val="16"/>
                <w:szCs w:val="16"/>
              </w:rPr>
              <w:t>PC/104-compatible</w:t>
            </w:r>
            <w:r w:rsidRPr="002D2C74">
              <w:rPr>
                <w:sz w:val="16"/>
                <w:szCs w:val="16"/>
              </w:rPr>
              <w:t xml:space="preserve"> I/O board </w:t>
            </w:r>
          </w:p>
        </w:tc>
        <w:tc>
          <w:tcPr>
            <w:tcW w:w="2407" w:type="dxa"/>
          </w:tcPr>
          <w:p w:rsidR="002D2C74" w:rsidRDefault="002D2C74" w:rsidP="00207621">
            <w:pPr>
              <w:rPr>
                <w:sz w:val="16"/>
                <w:szCs w:val="16"/>
              </w:rPr>
            </w:pPr>
            <w:r w:rsidRPr="002D2C74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364400" cy="972000"/>
                  <wp:effectExtent l="0" t="0" r="7620" b="0"/>
                  <wp:docPr id="8" name="Picture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T003-3p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621" w:rsidRPr="002D2C74" w:rsidRDefault="00207621" w:rsidP="00207621">
            <w:pPr>
              <w:rPr>
                <w:sz w:val="16"/>
                <w:szCs w:val="16"/>
              </w:rPr>
            </w:pPr>
          </w:p>
          <w:p w:rsidR="002D2C74" w:rsidRPr="002D2C74" w:rsidRDefault="002D2C74" w:rsidP="002D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Photocaption 3: </w:t>
            </w:r>
            <w:r w:rsidRPr="002D2C74">
              <w:rPr>
                <w:sz w:val="16"/>
                <w:szCs w:val="16"/>
              </w:rPr>
              <w:t>Sundance stack of EMC</w:t>
            </w:r>
            <w:r w:rsidRPr="002D2C74">
              <w:rPr>
                <w:sz w:val="16"/>
                <w:szCs w:val="16"/>
                <w:vertAlign w:val="superscript"/>
              </w:rPr>
              <w:t>2</w:t>
            </w:r>
            <w:r w:rsidRPr="002D2C74">
              <w:rPr>
                <w:sz w:val="16"/>
                <w:szCs w:val="16"/>
              </w:rPr>
              <w:t>-family members</w:t>
            </w:r>
          </w:p>
        </w:tc>
        <w:tc>
          <w:tcPr>
            <w:tcW w:w="2408" w:type="dxa"/>
          </w:tcPr>
          <w:p w:rsidR="002D2C74" w:rsidRDefault="002D2C74">
            <w:pPr>
              <w:rPr>
                <w:sz w:val="16"/>
                <w:szCs w:val="16"/>
              </w:rPr>
            </w:pPr>
            <w:r w:rsidRPr="002D2C74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364400" cy="972000"/>
                  <wp:effectExtent l="0" t="0" r="7620" b="0"/>
                  <wp:docPr id="9" name="Picture 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MT003-4p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625" w:rsidRDefault="00245625" w:rsidP="002D2C74">
            <w:pPr>
              <w:rPr>
                <w:sz w:val="16"/>
                <w:szCs w:val="16"/>
              </w:rPr>
            </w:pPr>
          </w:p>
          <w:p w:rsidR="002D2C74" w:rsidRPr="002D2C74" w:rsidRDefault="002D2C74" w:rsidP="002D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Photocaption 4: </w:t>
            </w:r>
            <w:r w:rsidRPr="002D2C74">
              <w:rPr>
                <w:sz w:val="16"/>
                <w:szCs w:val="16"/>
              </w:rPr>
              <w:t>Versalogic SBC with EMC</w:t>
            </w:r>
            <w:r w:rsidRPr="002D2C74">
              <w:rPr>
                <w:sz w:val="16"/>
                <w:szCs w:val="16"/>
                <w:vertAlign w:val="superscript"/>
              </w:rPr>
              <w:t>2</w:t>
            </w:r>
            <w:r w:rsidR="00F144D0">
              <w:rPr>
                <w:sz w:val="16"/>
                <w:szCs w:val="16"/>
              </w:rPr>
              <w:t>-KU35 and dual Camera L</w:t>
            </w:r>
            <w:r w:rsidRPr="002D2C74">
              <w:rPr>
                <w:sz w:val="16"/>
                <w:szCs w:val="16"/>
              </w:rPr>
              <w:t>ink</w:t>
            </w:r>
          </w:p>
        </w:tc>
        <w:bookmarkStart w:id="0" w:name="_GoBack"/>
        <w:bookmarkEnd w:id="0"/>
      </w:tr>
    </w:tbl>
    <w:p w:rsidR="00245625" w:rsidRDefault="00245625"/>
    <w:p w:rsidR="009D1F9E" w:rsidRPr="009D1F9E" w:rsidRDefault="00914AD3" w:rsidP="009D1F9E">
      <w:r>
        <w:rPr>
          <w:b/>
        </w:rPr>
        <w:t>Chesham</w:t>
      </w:r>
      <w:r w:rsidR="004F5169">
        <w:rPr>
          <w:b/>
        </w:rPr>
        <w:t>, UK</w:t>
      </w:r>
      <w:r w:rsidR="00F31BE2">
        <w:rPr>
          <w:b/>
        </w:rPr>
        <w:t xml:space="preserve"> </w:t>
      </w:r>
      <w:r w:rsidR="00245625">
        <w:rPr>
          <w:b/>
        </w:rPr>
        <w:t>–</w:t>
      </w:r>
      <w:r w:rsidR="00B9535A">
        <w:rPr>
          <w:b/>
        </w:rPr>
        <w:t xml:space="preserve"> </w:t>
      </w:r>
      <w:r w:rsidR="00245625">
        <w:rPr>
          <w:b/>
        </w:rPr>
        <w:t>13</w:t>
      </w:r>
      <w:r w:rsidR="00245625" w:rsidRPr="00245625">
        <w:rPr>
          <w:b/>
          <w:vertAlign w:val="superscript"/>
        </w:rPr>
        <w:t>th</w:t>
      </w:r>
      <w:r w:rsidR="00245625">
        <w:rPr>
          <w:b/>
        </w:rPr>
        <w:t xml:space="preserve"> June</w:t>
      </w:r>
      <w:r w:rsidR="00B9535A">
        <w:rPr>
          <w:b/>
        </w:rPr>
        <w:t xml:space="preserve"> 20</w:t>
      </w:r>
      <w:r w:rsidR="004E1A3A">
        <w:rPr>
          <w:b/>
        </w:rPr>
        <w:t>1</w:t>
      </w:r>
      <w:r w:rsidR="003A523E">
        <w:rPr>
          <w:b/>
        </w:rPr>
        <w:t>6</w:t>
      </w:r>
      <w:r w:rsidR="005F7205">
        <w:rPr>
          <w:b/>
        </w:rPr>
        <w:t>.</w:t>
      </w:r>
      <w:r w:rsidR="003A523E">
        <w:t xml:space="preserve"> </w:t>
      </w:r>
      <w:r w:rsidR="009D1F9E" w:rsidRPr="009D1F9E">
        <w:t>Sundance Multiprocessor Technology Ltd., an established supplier and manufacturer of embedded modules</w:t>
      </w:r>
      <w:r w:rsidR="009D1F9E">
        <w:t>,</w:t>
      </w:r>
      <w:r w:rsidR="009D1F9E" w:rsidRPr="009D1F9E">
        <w:t xml:space="preserve"> has announced that it has integrated Xilinx’s smallest</w:t>
      </w:r>
      <w:r w:rsidR="009D1F9E">
        <w:t xml:space="preserve"> </w:t>
      </w:r>
      <w:r w:rsidR="009D1F9E" w:rsidRPr="009D1F9E">
        <w:t xml:space="preserve">Kintex UltraScale FPGA </w:t>
      </w:r>
      <w:r w:rsidR="009D1F9E">
        <w:t>with</w:t>
      </w:r>
      <w:r w:rsidR="009D1F9E" w:rsidRPr="009D1F9E">
        <w:t xml:space="preserve"> its EMC</w:t>
      </w:r>
      <w:r w:rsidR="009D1F9E" w:rsidRPr="009D1F9E">
        <w:rPr>
          <w:vertAlign w:val="superscript"/>
        </w:rPr>
        <w:t>2</w:t>
      </w:r>
      <w:r w:rsidR="009D1F9E" w:rsidRPr="009D1F9E">
        <w:t xml:space="preserve">-family of embedded boards for the </w:t>
      </w:r>
      <w:r w:rsidR="009D1F9E">
        <w:t>“OneBank”</w:t>
      </w:r>
      <w:r w:rsidR="009D1F9E" w:rsidRPr="009D1F9E">
        <w:t xml:space="preserve"> </w:t>
      </w:r>
      <w:r w:rsidR="009D1F9E">
        <w:t>PC/104-compatible format.</w:t>
      </w:r>
      <w:r w:rsidR="009D1F9E" w:rsidRPr="009D1F9E">
        <w:t xml:space="preserve"> </w:t>
      </w:r>
    </w:p>
    <w:p w:rsidR="009D1F9E" w:rsidRPr="009D1F9E" w:rsidRDefault="009D1F9E" w:rsidP="009D1F9E"/>
    <w:p w:rsidR="009D1F9E" w:rsidRPr="009D1F9E" w:rsidRDefault="009D1F9E" w:rsidP="009D1F9E">
      <w:r w:rsidRPr="009D1F9E">
        <w:t>Sundance’s EMC</w:t>
      </w:r>
      <w:r w:rsidRPr="009D1F9E">
        <w:rPr>
          <w:vertAlign w:val="superscript"/>
        </w:rPr>
        <w:t>2</w:t>
      </w:r>
      <w:r w:rsidRPr="009D1F9E">
        <w:t xml:space="preserve">-family is a range of industrial-grade and deployment-ready PC/104 boards that feature either a Xilinx Zynq SoC or Xilinx Artix/Kintex FPGAs. The </w:t>
      </w:r>
      <w:hyperlink r:id="rId16" w:history="1">
        <w:r w:rsidRPr="009D1F9E">
          <w:rPr>
            <w:rStyle w:val="Hyperlink"/>
          </w:rPr>
          <w:t>EMC</w:t>
        </w:r>
        <w:r w:rsidRPr="009D1F9E">
          <w:rPr>
            <w:rStyle w:val="Hyperlink"/>
            <w:vertAlign w:val="superscript"/>
          </w:rPr>
          <w:t>2</w:t>
        </w:r>
        <w:r w:rsidRPr="009D1F9E">
          <w:rPr>
            <w:rStyle w:val="Hyperlink"/>
          </w:rPr>
          <w:t>-KU35</w:t>
        </w:r>
      </w:hyperlink>
      <w:r w:rsidRPr="009D1F9E">
        <w:t xml:space="preserve"> is the latest member and has two banks of 16-bit DDR4 with close to 2Gbytes/sec bandwidth each. It also has four-lanes of PCI-Express and a VITA57.1 FMC-LPC module expansion for a range of COTS or bespoke I/O modules for custom expansion. </w:t>
      </w:r>
    </w:p>
    <w:p w:rsidR="009D1F9E" w:rsidRPr="009D1F9E" w:rsidRDefault="009D1F9E" w:rsidP="009D1F9E"/>
    <w:p w:rsidR="009D1F9E" w:rsidRPr="009D1F9E" w:rsidRDefault="009D1F9E" w:rsidP="009D1F9E">
      <w:r>
        <w:t>The FMC Modules has one high-speed serial l</w:t>
      </w:r>
      <w:r w:rsidRPr="009D1F9E">
        <w:t>ane, running at up to 12.</w:t>
      </w:r>
      <w:r>
        <w:t>5Gbit that could be used for a 10Gbit Ethernet m</w:t>
      </w:r>
      <w:r w:rsidRPr="009D1F9E">
        <w:t>odule. It also has 34x pairs of low-voltage differential para</w:t>
      </w:r>
      <w:r>
        <w:t>llel lines for interfacing to “real-w</w:t>
      </w:r>
      <w:r w:rsidRPr="009D1F9E">
        <w:t xml:space="preserve">orld” interfaces, like analog/digital signals or various camera interfaces. </w:t>
      </w:r>
    </w:p>
    <w:p w:rsidR="009D1F9E" w:rsidRPr="009D1F9E" w:rsidRDefault="009D1F9E" w:rsidP="009D1F9E"/>
    <w:p w:rsidR="009D1F9E" w:rsidRDefault="009D1F9E" w:rsidP="009D1F9E">
      <w:r w:rsidRPr="009D1F9E">
        <w:t>The EMC</w:t>
      </w:r>
      <w:r w:rsidRPr="009D1F9E">
        <w:rPr>
          <w:vertAlign w:val="superscript"/>
        </w:rPr>
        <w:t>2</w:t>
      </w:r>
      <w:r w:rsidRPr="009D1F9E">
        <w:t>-family is designed to the latest, yet long-established, PC/104 small-form-factor 90mm by 96mm boards called “OneBank” and</w:t>
      </w:r>
      <w:r>
        <w:t>,</w:t>
      </w:r>
      <w:r w:rsidRPr="009D1F9E">
        <w:t xml:space="preserve"> using PCI Express switches</w:t>
      </w:r>
      <w:r>
        <w:t>,</w:t>
      </w:r>
      <w:r w:rsidRPr="009D1F9E">
        <w:t xml:space="preserve"> allows an infinite number of boards to be stacked for very demanding applications. The typical board-to-board bandwidth is above 500Mbytes/s and peak bandwidth is up 2Gbytes/s using the “OneBank” connectors, whereas a possible bandwidth to a</w:t>
      </w:r>
      <w:r>
        <w:t>n FMC I/O m</w:t>
      </w:r>
      <w:r w:rsidRPr="009D1F9E">
        <w:t xml:space="preserve">odule can exceed 6Gbytes/s. </w:t>
      </w:r>
    </w:p>
    <w:p w:rsidR="009D1F9E" w:rsidRPr="00F144D0" w:rsidRDefault="009D1F9E" w:rsidP="009D1F9E">
      <w:pPr>
        <w:rPr>
          <w:i/>
        </w:rPr>
      </w:pPr>
    </w:p>
    <w:p w:rsidR="00F144D0" w:rsidRPr="00F144D0" w:rsidRDefault="00F144D0" w:rsidP="00F144D0">
      <w:pPr>
        <w:rPr>
          <w:iCs/>
        </w:rPr>
      </w:pPr>
      <w:r w:rsidRPr="00F144D0">
        <w:rPr>
          <w:iCs/>
        </w:rPr>
        <w:t xml:space="preserve">“The evolution of Sundance’s </w:t>
      </w:r>
      <w:r w:rsidRPr="00F144D0">
        <w:t>EMC</w:t>
      </w:r>
      <w:r w:rsidRPr="00F144D0">
        <w:rPr>
          <w:vertAlign w:val="superscript"/>
        </w:rPr>
        <w:t>2</w:t>
      </w:r>
      <w:r w:rsidRPr="00F144D0">
        <w:rPr>
          <w:iCs/>
        </w:rPr>
        <w:t>-family of boards with either low-cost/low-power Artix-7 family or the fully integrated Zynq SoC with Dual-Core ARM-A9 has been significantly improved with the addition of the Kintex UltraScale family of FPGAs</w:t>
      </w:r>
      <w:r>
        <w:rPr>
          <w:iCs/>
        </w:rPr>
        <w:t>,</w:t>
      </w:r>
      <w:r w:rsidRPr="00F144D0">
        <w:rPr>
          <w:iCs/>
        </w:rPr>
        <w:t>” said</w:t>
      </w:r>
      <w:r w:rsidRPr="00F144D0">
        <w:rPr>
          <w:bCs/>
        </w:rPr>
        <w:t xml:space="preserve"> Flemming Christensen</w:t>
      </w:r>
      <w:r w:rsidRPr="00F144D0">
        <w:t>, Managing Director of Sundance Multiprocessor Technology Ltd.</w:t>
      </w:r>
      <w:r w:rsidRPr="00F144D0">
        <w:rPr>
          <w:iCs/>
        </w:rPr>
        <w:t xml:space="preserve"> “While the </w:t>
      </w:r>
      <w:hyperlink r:id="rId17" w:history="1">
        <w:r w:rsidRPr="00747DA7">
          <w:rPr>
            <w:rStyle w:val="Hyperlink"/>
            <w:iCs/>
          </w:rPr>
          <w:t>EMC</w:t>
        </w:r>
        <w:r w:rsidRPr="00747DA7">
          <w:rPr>
            <w:rStyle w:val="Hyperlink"/>
            <w:iCs/>
            <w:vertAlign w:val="superscript"/>
          </w:rPr>
          <w:t>2</w:t>
        </w:r>
        <w:r w:rsidRPr="00747DA7">
          <w:rPr>
            <w:rStyle w:val="Hyperlink"/>
            <w:iCs/>
          </w:rPr>
          <w:t>-Z7030</w:t>
        </w:r>
      </w:hyperlink>
      <w:r>
        <w:rPr>
          <w:iCs/>
        </w:rPr>
        <w:t xml:space="preserve"> board with an ARM9 Zynq SoC</w:t>
      </w:r>
      <w:r w:rsidRPr="00F144D0">
        <w:rPr>
          <w:iCs/>
        </w:rPr>
        <w:t xml:space="preserve"> is a single-board computer with some FPGA fabric for I/O and pre/post processing and is ideal for low-cost system</w:t>
      </w:r>
      <w:r>
        <w:rPr>
          <w:iCs/>
        </w:rPr>
        <w:t>s, the</w:t>
      </w:r>
      <w:r w:rsidRPr="00F144D0">
        <w:rPr>
          <w:iCs/>
        </w:rPr>
        <w:t xml:space="preserve"> </w:t>
      </w:r>
      <w:r>
        <w:rPr>
          <w:iCs/>
        </w:rPr>
        <w:t>newly launched</w:t>
      </w:r>
      <w:r w:rsidRPr="00F144D0">
        <w:rPr>
          <w:iCs/>
        </w:rPr>
        <w:t xml:space="preserve"> EMC</w:t>
      </w:r>
      <w:r w:rsidRPr="00F144D0">
        <w:rPr>
          <w:iCs/>
          <w:vertAlign w:val="superscript"/>
        </w:rPr>
        <w:t>2</w:t>
      </w:r>
      <w:r w:rsidRPr="00F144D0">
        <w:rPr>
          <w:iCs/>
        </w:rPr>
        <w:t>-KU35 provide</w:t>
      </w:r>
      <w:r>
        <w:rPr>
          <w:iCs/>
        </w:rPr>
        <w:t>s</w:t>
      </w:r>
      <w:r w:rsidRPr="00F144D0">
        <w:rPr>
          <w:iCs/>
        </w:rPr>
        <w:t xml:space="preserve"> a magnitude more performance”</w:t>
      </w:r>
    </w:p>
    <w:p w:rsidR="00F144D0" w:rsidRPr="00F144D0" w:rsidRDefault="00F144D0" w:rsidP="00F144D0"/>
    <w:p w:rsidR="00F144D0" w:rsidRPr="00F144D0" w:rsidRDefault="00F144D0" w:rsidP="00F144D0">
      <w:pPr>
        <w:rPr>
          <w:iCs/>
        </w:rPr>
      </w:pPr>
      <w:r w:rsidRPr="00F144D0">
        <w:rPr>
          <w:iCs/>
        </w:rPr>
        <w:t xml:space="preserve">The </w:t>
      </w:r>
      <w:r w:rsidRPr="00F144D0">
        <w:t>EMC</w:t>
      </w:r>
      <w:r w:rsidRPr="00F144D0">
        <w:rPr>
          <w:vertAlign w:val="superscript"/>
        </w:rPr>
        <w:t>2</w:t>
      </w:r>
      <w:r w:rsidRPr="00F144D0">
        <w:rPr>
          <w:bCs/>
          <w:iCs/>
        </w:rPr>
        <w:t xml:space="preserve">-KU35 can also </w:t>
      </w:r>
      <w:r w:rsidRPr="00F144D0">
        <w:rPr>
          <w:iCs/>
        </w:rPr>
        <w:t xml:space="preserve">combine with </w:t>
      </w:r>
      <w:r>
        <w:rPr>
          <w:iCs/>
        </w:rPr>
        <w:t xml:space="preserve">one of the many </w:t>
      </w:r>
      <w:r w:rsidRPr="00F144D0">
        <w:rPr>
          <w:iCs/>
        </w:rPr>
        <w:t>x86-based SBC</w:t>
      </w:r>
      <w:r>
        <w:rPr>
          <w:iCs/>
        </w:rPr>
        <w:t>s</w:t>
      </w:r>
      <w:r w:rsidRPr="00F144D0">
        <w:rPr>
          <w:iCs/>
        </w:rPr>
        <w:t xml:space="preserve"> that are manufactured by PC/104 Consortium members. One such example is </w:t>
      </w:r>
      <w:r>
        <w:rPr>
          <w:iCs/>
        </w:rPr>
        <w:t xml:space="preserve">the </w:t>
      </w:r>
      <w:r w:rsidRPr="00F144D0">
        <w:rPr>
          <w:iCs/>
        </w:rPr>
        <w:t xml:space="preserve">Versalogic </w:t>
      </w:r>
      <w:hyperlink r:id="rId18" w:history="1">
        <w:r w:rsidRPr="00F144D0">
          <w:rPr>
            <w:rStyle w:val="Hyperlink"/>
            <w:iCs/>
          </w:rPr>
          <w:t>“Bengal”</w:t>
        </w:r>
      </w:hyperlink>
      <w:r>
        <w:rPr>
          <w:iCs/>
        </w:rPr>
        <w:t xml:space="preserve"> with Intel Atom E3845 quad-c</w:t>
      </w:r>
      <w:r w:rsidRPr="00F144D0">
        <w:rPr>
          <w:iCs/>
        </w:rPr>
        <w:t xml:space="preserve">ore </w:t>
      </w:r>
      <w:r>
        <w:rPr>
          <w:iCs/>
        </w:rPr>
        <w:t>running at 1.9GHz</w:t>
      </w:r>
      <w:r w:rsidR="00B3090F">
        <w:rPr>
          <w:iCs/>
        </w:rPr>
        <w:t xml:space="preserve"> per core</w:t>
      </w:r>
      <w:r>
        <w:rPr>
          <w:iCs/>
        </w:rPr>
        <w:t xml:space="preserve"> and supporting</w:t>
      </w:r>
      <w:r w:rsidRPr="00F144D0">
        <w:rPr>
          <w:iCs/>
        </w:rPr>
        <w:t xml:space="preserve"> Windows 7 Embe</w:t>
      </w:r>
      <w:r>
        <w:rPr>
          <w:iCs/>
        </w:rPr>
        <w:t>dded. Adding an FMC module with</w:t>
      </w:r>
      <w:r w:rsidRPr="00F144D0">
        <w:rPr>
          <w:iCs/>
        </w:rPr>
        <w:t xml:space="preserve"> two Camera</w:t>
      </w:r>
      <w:r>
        <w:rPr>
          <w:iCs/>
        </w:rPr>
        <w:t xml:space="preserve"> </w:t>
      </w:r>
      <w:r w:rsidRPr="00F144D0">
        <w:rPr>
          <w:iCs/>
        </w:rPr>
        <w:lastRenderedPageBreak/>
        <w:t>Link ports will provide interfaces to high-resolution and very fast cameras in a stereo-vision setup for autonomous</w:t>
      </w:r>
      <w:r>
        <w:rPr>
          <w:iCs/>
        </w:rPr>
        <w:t>ly</w:t>
      </w:r>
      <w:r w:rsidRPr="00F144D0">
        <w:rPr>
          <w:iCs/>
        </w:rPr>
        <w:t xml:space="preserve"> controlled vehicles or planes. </w:t>
      </w:r>
    </w:p>
    <w:p w:rsidR="00F144D0" w:rsidRPr="00F144D0" w:rsidRDefault="00F144D0" w:rsidP="00F144D0">
      <w:pPr>
        <w:rPr>
          <w:iCs/>
        </w:rPr>
      </w:pPr>
    </w:p>
    <w:p w:rsidR="00F144D0" w:rsidRPr="00F144D0" w:rsidRDefault="00F144D0" w:rsidP="00F144D0">
      <w:pPr>
        <w:rPr>
          <w:b/>
        </w:rPr>
      </w:pPr>
      <w:r w:rsidRPr="00F144D0">
        <w:t>The EMC</w:t>
      </w:r>
      <w:r w:rsidRPr="00F144D0">
        <w:rPr>
          <w:vertAlign w:val="superscript"/>
        </w:rPr>
        <w:t>2</w:t>
      </w:r>
      <w:r w:rsidRPr="00F144D0">
        <w:rPr>
          <w:bCs/>
        </w:rPr>
        <w:t xml:space="preserve">-family </w:t>
      </w:r>
      <w:r w:rsidRPr="00F144D0">
        <w:t>benefits significantly from the PC/104 stackable concept that allows multiple boards to be integrated into a multi-processing</w:t>
      </w:r>
      <w:r w:rsidR="00747DA7">
        <w:t xml:space="preserve"> system</w:t>
      </w:r>
      <w:r w:rsidRPr="00F144D0">
        <w:t xml:space="preserve"> using PCI Express or Ethernet for inter-connection between each board in the system for a heterogeneous and asymmetrical computing platform. The concept is being developed by Sundance as part of $100 million industry-wide EU R&amp;D program into </w:t>
      </w:r>
      <w:r w:rsidRPr="00747DA7">
        <w:t>Embedded Multi-Core Systems for Mixed Criticality</w:t>
      </w:r>
      <w:r w:rsidRPr="00F144D0">
        <w:t xml:space="preserve">, the </w:t>
      </w:r>
      <w:hyperlink r:id="rId19" w:history="1">
        <w:r w:rsidRPr="00747DA7">
          <w:rPr>
            <w:rStyle w:val="Hyperlink"/>
          </w:rPr>
          <w:t>Artemis-EMC</w:t>
        </w:r>
        <w:r w:rsidRPr="00747DA7">
          <w:rPr>
            <w:rStyle w:val="Hyperlink"/>
            <w:vertAlign w:val="superscript"/>
          </w:rPr>
          <w:t>2</w:t>
        </w:r>
        <w:r w:rsidRPr="00747DA7">
          <w:rPr>
            <w:rStyle w:val="Hyperlink"/>
          </w:rPr>
          <w:t xml:space="preserve"> Project</w:t>
        </w:r>
      </w:hyperlink>
      <w:r w:rsidRPr="00F144D0">
        <w:rPr>
          <w:b/>
        </w:rPr>
        <w:t xml:space="preserve"> </w:t>
      </w:r>
    </w:p>
    <w:p w:rsidR="00F144D0" w:rsidRPr="00F144D0" w:rsidRDefault="00F144D0" w:rsidP="00F144D0">
      <w:pPr>
        <w:rPr>
          <w:b/>
        </w:rPr>
      </w:pPr>
    </w:p>
    <w:p w:rsidR="00F144D0" w:rsidRPr="00F144D0" w:rsidRDefault="00F144D0" w:rsidP="00F144D0">
      <w:r w:rsidRPr="00F144D0">
        <w:t xml:space="preserve">The </w:t>
      </w:r>
      <w:r w:rsidRPr="00747DA7">
        <w:t>EMC</w:t>
      </w:r>
      <w:r w:rsidRPr="00747DA7">
        <w:rPr>
          <w:vertAlign w:val="superscript"/>
        </w:rPr>
        <w:t>2</w:t>
      </w:r>
      <w:r w:rsidRPr="00747DA7">
        <w:rPr>
          <w:bCs/>
        </w:rPr>
        <w:t>-KU35</w:t>
      </w:r>
      <w:r w:rsidRPr="00F144D0">
        <w:rPr>
          <w:b/>
          <w:bCs/>
        </w:rPr>
        <w:t xml:space="preserve"> </w:t>
      </w:r>
      <w:r w:rsidRPr="00F144D0">
        <w:rPr>
          <w:bCs/>
        </w:rPr>
        <w:t xml:space="preserve">is priced </w:t>
      </w:r>
      <w:r w:rsidRPr="00F144D0">
        <w:t>at $3,225</w:t>
      </w:r>
      <w:r w:rsidR="00747DA7">
        <w:t>.00</w:t>
      </w:r>
      <w:r w:rsidRPr="00F144D0">
        <w:t xml:space="preserve"> for the extended industrial temperature variation and medium speed-grade of FPGA. Slower, faster and commercial variations are available. The 100+ price is below $1,800.00. The </w:t>
      </w:r>
      <w:r w:rsidRPr="00747DA7">
        <w:t>EMC</w:t>
      </w:r>
      <w:r w:rsidRPr="00747DA7">
        <w:rPr>
          <w:vertAlign w:val="superscript"/>
        </w:rPr>
        <w:t>2</w:t>
      </w:r>
      <w:r w:rsidRPr="00747DA7">
        <w:t>-KU35</w:t>
      </w:r>
      <w:r w:rsidRPr="00F144D0">
        <w:t xml:space="preserve"> and its variations are typically available on a lead-time of one to three weeks.</w:t>
      </w:r>
    </w:p>
    <w:p w:rsidR="003A523E" w:rsidRDefault="003A523E"/>
    <w:p w:rsidR="005F7205" w:rsidRDefault="005F7205">
      <w:r>
        <w:t># # #</w:t>
      </w:r>
    </w:p>
    <w:p w:rsidR="005F7205" w:rsidRDefault="005F7205"/>
    <w:p w:rsidR="00925C2B" w:rsidRPr="00F411C0" w:rsidRDefault="00925C2B" w:rsidP="00925C2B">
      <w:pPr>
        <w:rPr>
          <w:b/>
          <w:bCs/>
        </w:rPr>
      </w:pPr>
      <w:r>
        <w:rPr>
          <w:b/>
          <w:bCs/>
        </w:rPr>
        <w:t xml:space="preserve">About </w:t>
      </w:r>
      <w:r w:rsidR="007B06FD">
        <w:rPr>
          <w:b/>
          <w:bCs/>
        </w:rPr>
        <w:t>Sundance Multiprocessor Technology</w:t>
      </w:r>
    </w:p>
    <w:p w:rsidR="00925C2B" w:rsidRPr="004F5169" w:rsidRDefault="00925C2B" w:rsidP="00925C2B">
      <w:pPr>
        <w:rPr>
          <w:rFonts w:cs="Arial"/>
        </w:rPr>
      </w:pPr>
    </w:p>
    <w:p w:rsidR="00C32BE6" w:rsidRDefault="00C32BE6" w:rsidP="00C32BE6">
      <w:r w:rsidRPr="00023043">
        <w:t>Sundance designs, develops, manufactures, and markets internationally high performance signal processing and</w:t>
      </w:r>
      <w:r>
        <w:t xml:space="preserve"> </w:t>
      </w:r>
      <w:r w:rsidRPr="00023043">
        <w:t>reconfigurable systems for original equipment manufacturers in embedded applications. Leveraging its multiprocessor</w:t>
      </w:r>
      <w:r>
        <w:t xml:space="preserve"> </w:t>
      </w:r>
      <w:r w:rsidRPr="00023043">
        <w:t>expertise and experience, Sundance provides OEMs with modular systems as well as data acquisition, I/O,</w:t>
      </w:r>
      <w:r>
        <w:t xml:space="preserve"> </w:t>
      </w:r>
      <w:r w:rsidRPr="00023043">
        <w:t>communication and interconnectivity products that are essential to multiprocessor systems where scalability and</w:t>
      </w:r>
      <w:r>
        <w:t xml:space="preserve"> </w:t>
      </w:r>
      <w:r w:rsidRPr="00023043">
        <w:t>performance are essential. Sundance, founded in 1989 by the current directors, is a member of the Xilinx Alliance and MathWorks’ Connection programs.</w:t>
      </w:r>
      <w:r>
        <w:t xml:space="preserve"> </w:t>
      </w:r>
      <w:r w:rsidRPr="00023043">
        <w:t xml:space="preserve">Sundance is </w:t>
      </w:r>
      <w:r>
        <w:t xml:space="preserve">also </w:t>
      </w:r>
      <w:r w:rsidRPr="00023043">
        <w:t>a member of the PC/104 Consortium, the focal point for the entire PC/104 industry including manufactures</w:t>
      </w:r>
      <w:r>
        <w:t xml:space="preserve"> </w:t>
      </w:r>
      <w:r w:rsidRPr="00023043">
        <w:t>and OEMs. It provides a place for information on current specifications, product offerings, news, and events and a place</w:t>
      </w:r>
      <w:r>
        <w:t xml:space="preserve"> </w:t>
      </w:r>
      <w:r w:rsidRPr="00023043">
        <w:t>to advance and develop specifications that are consistent and stable for long-term use.</w:t>
      </w:r>
      <w:r>
        <w:t xml:space="preserve"> </w:t>
      </w:r>
      <w:r w:rsidRPr="00023043">
        <w:t>For more information</w:t>
      </w:r>
      <w:r w:rsidRPr="00FD56AF">
        <w:rPr>
          <w:rFonts w:cs="Arial"/>
          <w:color w:val="000000"/>
          <w:lang w:val="en-US"/>
        </w:rPr>
        <w:t xml:space="preserve"> </w:t>
      </w:r>
      <w:r w:rsidRPr="00405178">
        <w:rPr>
          <w:rFonts w:cs="Arial"/>
          <w:color w:val="000000"/>
          <w:lang w:val="en-US"/>
        </w:rPr>
        <w:t xml:space="preserve">about </w:t>
      </w:r>
      <w:r w:rsidRPr="007B06FD">
        <w:t>Sundan</w:t>
      </w:r>
      <w:r>
        <w:t>ce Multiprocessor Technology and its products,</w:t>
      </w:r>
      <w:r w:rsidRPr="00023043">
        <w:t xml:space="preserve"> visit </w:t>
      </w:r>
      <w:hyperlink r:id="rId20" w:history="1">
        <w:r w:rsidRPr="007A43DD">
          <w:rPr>
            <w:rStyle w:val="Hyperlink"/>
          </w:rPr>
          <w:t>http://www.sundance.com</w:t>
        </w:r>
      </w:hyperlink>
      <w:r>
        <w:rPr>
          <w:rStyle w:val="Hyperlink"/>
        </w:rPr>
        <w:t>.</w:t>
      </w:r>
      <w:r>
        <w:t xml:space="preserve"> </w:t>
      </w:r>
    </w:p>
    <w:p w:rsidR="00B10D84" w:rsidRDefault="00B10D84" w:rsidP="00B10D84">
      <w:pPr>
        <w:widowControl/>
        <w:autoSpaceDE w:val="0"/>
        <w:autoSpaceDN w:val="0"/>
        <w:adjustRightInd w:val="0"/>
        <w:rPr>
          <w:rFonts w:cs="Arial"/>
          <w:color w:val="0000FF"/>
          <w:lang w:val="en-US"/>
        </w:rPr>
      </w:pPr>
    </w:p>
    <w:p w:rsidR="00B10D84" w:rsidRDefault="00B10D84" w:rsidP="00B10D84">
      <w:pPr>
        <w:widowControl/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cs="Arial"/>
          <w:color w:val="000000"/>
          <w:sz w:val="16"/>
          <w:szCs w:val="16"/>
          <w:lang w:val="en-US"/>
        </w:rPr>
        <w:t>A</w:t>
      </w:r>
      <w:r w:rsidRPr="0040575B">
        <w:rPr>
          <w:rFonts w:cs="Arial"/>
          <w:color w:val="000000"/>
          <w:sz w:val="16"/>
          <w:szCs w:val="16"/>
          <w:lang w:val="en-US"/>
        </w:rPr>
        <w:t>ll trademarks are recognised and are the property of their respective companies.</w:t>
      </w:r>
    </w:p>
    <w:p w:rsidR="00B10D84" w:rsidRDefault="00B10D84" w:rsidP="00B10D84"/>
    <w:p w:rsidR="00925C2B" w:rsidRPr="00FE48AA" w:rsidRDefault="00925C2B" w:rsidP="00925C2B">
      <w:pPr>
        <w:rPr>
          <w:sz w:val="16"/>
          <w:szCs w:val="16"/>
        </w:rPr>
      </w:pPr>
      <w:r w:rsidRPr="00FE48AA">
        <w:rPr>
          <w:b/>
          <w:sz w:val="16"/>
          <w:szCs w:val="16"/>
        </w:rPr>
        <w:t>Media contacts:</w:t>
      </w:r>
    </w:p>
    <w:p w:rsidR="00925C2B" w:rsidRPr="00FE48AA" w:rsidRDefault="00925C2B" w:rsidP="00925C2B">
      <w:pPr>
        <w:rPr>
          <w:sz w:val="16"/>
          <w:szCs w:val="16"/>
        </w:rPr>
      </w:pPr>
    </w:p>
    <w:p w:rsidR="00424F57" w:rsidRPr="00E04FFA" w:rsidRDefault="007B06FD" w:rsidP="00424F57">
      <w:pPr>
        <w:rPr>
          <w:rFonts w:cs="Arial"/>
          <w:sz w:val="16"/>
          <w:szCs w:val="16"/>
        </w:rPr>
      </w:pPr>
      <w:r w:rsidRPr="00E04FFA">
        <w:rPr>
          <w:rFonts w:cs="Arial"/>
          <w:sz w:val="16"/>
          <w:szCs w:val="16"/>
        </w:rPr>
        <w:t>Flemming Christensen, Managing Director, Sundance Microprocessor Technology</w:t>
      </w:r>
    </w:p>
    <w:p w:rsidR="00424F57" w:rsidRPr="00E04FFA" w:rsidRDefault="00424F57" w:rsidP="00424F57">
      <w:pPr>
        <w:rPr>
          <w:rFonts w:ascii="Times New Roman" w:hAnsi="Times New Roman"/>
          <w:sz w:val="16"/>
          <w:szCs w:val="16"/>
        </w:rPr>
      </w:pPr>
      <w:r w:rsidRPr="00E04FFA">
        <w:rPr>
          <w:rFonts w:cs="Arial"/>
          <w:sz w:val="16"/>
          <w:szCs w:val="16"/>
        </w:rPr>
        <w:t>Tel: +44 (0)</w:t>
      </w:r>
      <w:r w:rsidR="00E04FFA" w:rsidRPr="00E04FFA">
        <w:rPr>
          <w:sz w:val="16"/>
          <w:szCs w:val="16"/>
        </w:rPr>
        <w:t>1494 793167</w:t>
      </w:r>
      <w:r w:rsidRPr="00E04FFA">
        <w:rPr>
          <w:rFonts w:cs="Arial"/>
          <w:sz w:val="16"/>
          <w:szCs w:val="16"/>
        </w:rPr>
        <w:t xml:space="preserve">.  Email: </w:t>
      </w:r>
      <w:hyperlink r:id="rId21" w:history="1">
        <w:r w:rsidR="0055434B" w:rsidRPr="00E04FFA">
          <w:rPr>
            <w:rStyle w:val="Hyperlink"/>
            <w:rFonts w:cs="Arial"/>
            <w:sz w:val="16"/>
            <w:szCs w:val="16"/>
          </w:rPr>
          <w:t>flemming.c@sundance.com</w:t>
        </w:r>
      </w:hyperlink>
      <w:r w:rsidR="0055434B" w:rsidRPr="00E04FFA">
        <w:rPr>
          <w:rFonts w:cs="Arial"/>
          <w:sz w:val="16"/>
          <w:szCs w:val="16"/>
        </w:rPr>
        <w:t xml:space="preserve"> </w:t>
      </w:r>
    </w:p>
    <w:p w:rsidR="00FE48AA" w:rsidRPr="00FE48AA" w:rsidRDefault="00FE48AA" w:rsidP="00FE48AA">
      <w:pPr>
        <w:rPr>
          <w:sz w:val="16"/>
          <w:szCs w:val="16"/>
          <w:lang w:val="en-US"/>
        </w:rPr>
      </w:pPr>
    </w:p>
    <w:p w:rsidR="00FE48AA" w:rsidRPr="00FE48AA" w:rsidRDefault="00FE48AA" w:rsidP="00FE48AA">
      <w:pPr>
        <w:rPr>
          <w:sz w:val="16"/>
          <w:szCs w:val="16"/>
        </w:rPr>
      </w:pPr>
      <w:r w:rsidRPr="00FE48AA">
        <w:rPr>
          <w:sz w:val="16"/>
          <w:szCs w:val="16"/>
        </w:rPr>
        <w:t xml:space="preserve">Keith Mason, Humbug PR </w:t>
      </w:r>
    </w:p>
    <w:p w:rsidR="00FE48AA" w:rsidRPr="00FE48AA" w:rsidRDefault="00FE48AA" w:rsidP="00FE48AA">
      <w:pPr>
        <w:rPr>
          <w:sz w:val="16"/>
          <w:szCs w:val="16"/>
        </w:rPr>
      </w:pPr>
      <w:r w:rsidRPr="00FE48AA">
        <w:rPr>
          <w:sz w:val="16"/>
          <w:szCs w:val="16"/>
        </w:rPr>
        <w:t xml:space="preserve">Tel: +44 (0)1305 849403.  Email: </w:t>
      </w:r>
      <w:hyperlink r:id="rId22" w:history="1">
        <w:r w:rsidRPr="00FE48AA">
          <w:rPr>
            <w:rStyle w:val="Hyperlink"/>
            <w:sz w:val="16"/>
            <w:szCs w:val="16"/>
          </w:rPr>
          <w:t>keith.mason@humbugpr.com</w:t>
        </w:r>
      </w:hyperlink>
      <w:r w:rsidRPr="00FE48AA">
        <w:rPr>
          <w:sz w:val="16"/>
          <w:szCs w:val="16"/>
        </w:rPr>
        <w:t xml:space="preserve">  </w:t>
      </w:r>
    </w:p>
    <w:p w:rsidR="00FE48AA" w:rsidRPr="00FE48AA" w:rsidRDefault="00FE48AA" w:rsidP="00FE48AA">
      <w:pPr>
        <w:rPr>
          <w:sz w:val="16"/>
          <w:szCs w:val="16"/>
        </w:rPr>
      </w:pPr>
    </w:p>
    <w:p w:rsidR="006B5BC9" w:rsidRPr="00FE48AA" w:rsidRDefault="004F5169" w:rsidP="00FE48AA">
      <w:pPr>
        <w:rPr>
          <w:sz w:val="16"/>
          <w:szCs w:val="16"/>
        </w:rPr>
      </w:pPr>
      <w:r>
        <w:rPr>
          <w:sz w:val="16"/>
          <w:szCs w:val="16"/>
        </w:rPr>
        <w:t xml:space="preserve">Ref: </w:t>
      </w:r>
      <w:r w:rsidR="007B06FD">
        <w:rPr>
          <w:sz w:val="16"/>
          <w:szCs w:val="16"/>
        </w:rPr>
        <w:t>SMT</w:t>
      </w:r>
      <w:r w:rsidR="00747DA7">
        <w:rPr>
          <w:sz w:val="16"/>
          <w:szCs w:val="16"/>
        </w:rPr>
        <w:t>003</w:t>
      </w:r>
    </w:p>
    <w:p w:rsidR="00FE48AA" w:rsidRPr="00FE48AA" w:rsidRDefault="006609A0" w:rsidP="00FE48AA">
      <w:pPr>
        <w:rPr>
          <w:sz w:val="16"/>
          <w:szCs w:val="16"/>
        </w:rPr>
      </w:pPr>
      <w:r w:rsidRPr="00FE48AA">
        <w:rPr>
          <w:sz w:val="16"/>
          <w:szCs w:val="16"/>
        </w:rPr>
        <w:t xml:space="preserve">Words: </w:t>
      </w:r>
      <w:r w:rsidR="00747DA7">
        <w:rPr>
          <w:sz w:val="16"/>
          <w:szCs w:val="16"/>
        </w:rPr>
        <w:t>470</w:t>
      </w:r>
    </w:p>
    <w:p w:rsidR="00FE48AA" w:rsidRPr="00FE48AA" w:rsidRDefault="00FE48AA" w:rsidP="00FE48AA">
      <w:pPr>
        <w:rPr>
          <w:sz w:val="16"/>
          <w:szCs w:val="16"/>
        </w:rPr>
      </w:pPr>
    </w:p>
    <w:p w:rsidR="00B10D84" w:rsidRPr="00B10D84" w:rsidRDefault="00FE48AA" w:rsidP="00FB1051">
      <w:pPr>
        <w:rPr>
          <w:i/>
          <w:sz w:val="16"/>
          <w:szCs w:val="16"/>
        </w:rPr>
      </w:pPr>
      <w:r w:rsidRPr="00FE48AA">
        <w:rPr>
          <w:i/>
          <w:sz w:val="16"/>
          <w:szCs w:val="16"/>
        </w:rPr>
        <w:t xml:space="preserve">This press release and any associated images (in high-resolution compressed jpeg format) can be downloaded from </w:t>
      </w:r>
      <w:hyperlink r:id="rId23" w:history="1">
        <w:r w:rsidRPr="00497FDE">
          <w:rPr>
            <w:rStyle w:val="Hyperlink"/>
            <w:i/>
            <w:sz w:val="16"/>
            <w:szCs w:val="16"/>
          </w:rPr>
          <w:t>www.humbugpr.com</w:t>
        </w:r>
        <w:r w:rsidR="004F5169" w:rsidRPr="00497FDE">
          <w:rPr>
            <w:rStyle w:val="Hyperlink"/>
            <w:i/>
            <w:sz w:val="16"/>
            <w:szCs w:val="16"/>
          </w:rPr>
          <w:t>.</w:t>
        </w:r>
      </w:hyperlink>
    </w:p>
    <w:sectPr w:rsidR="00B10D84" w:rsidRPr="00B10D84">
      <w:headerReference w:type="even" r:id="rId24"/>
      <w:headerReference w:type="default" r:id="rId25"/>
      <w:footerReference w:type="default" r:id="rId26"/>
      <w:pgSz w:w="11907" w:h="16840" w:code="9"/>
      <w:pgMar w:top="567" w:right="1134" w:bottom="993" w:left="1134" w:header="56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25" w:rsidRDefault="00245625">
      <w:r>
        <w:separator/>
      </w:r>
    </w:p>
  </w:endnote>
  <w:endnote w:type="continuationSeparator" w:id="0">
    <w:p w:rsidR="00245625" w:rsidRDefault="0024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CC" w:rsidRDefault="00627CCC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3D6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25" w:rsidRDefault="00245625">
      <w:r>
        <w:separator/>
      </w:r>
    </w:p>
  </w:footnote>
  <w:footnote w:type="continuationSeparator" w:id="0">
    <w:p w:rsidR="00245625" w:rsidRDefault="0024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CC" w:rsidRDefault="00627CCC"/>
  <w:p w:rsidR="00627CCC" w:rsidRDefault="00627CCC"/>
  <w:p w:rsidR="00627CCC" w:rsidRDefault="00627CCC"/>
  <w:p w:rsidR="00627CCC" w:rsidRDefault="00627CCC"/>
  <w:p w:rsidR="00627CCC" w:rsidRDefault="00627CCC"/>
  <w:p w:rsidR="00627CCC" w:rsidRDefault="00627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CC" w:rsidRDefault="00B10D84">
    <w:pPr>
      <w:pStyle w:val="Header"/>
    </w:pPr>
    <w:r>
      <w:t>SMT</w:t>
    </w:r>
    <w:r w:rsidR="00747DA7">
      <w:t>003</w:t>
    </w:r>
    <w:r w:rsidR="00627CCC">
      <w:t xml:space="preserve"> / </w:t>
    </w:r>
    <w:r w:rsidR="00747DA7" w:rsidRPr="00747DA7">
      <w:t>Sundance adds Xilinx’s new Kintex UltraScale FPGA to its EMC2-family of PCIe/104 “OneBank” compatible I/O boards</w:t>
    </w:r>
  </w:p>
  <w:p w:rsidR="00627CCC" w:rsidRDefault="00627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750"/>
    <w:multiLevelType w:val="singleLevel"/>
    <w:tmpl w:val="4936F8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25"/>
    <w:rsid w:val="00030AEC"/>
    <w:rsid w:val="00082769"/>
    <w:rsid w:val="00091E5A"/>
    <w:rsid w:val="000E2EA5"/>
    <w:rsid w:val="001567FE"/>
    <w:rsid w:val="00174B52"/>
    <w:rsid w:val="001A03D4"/>
    <w:rsid w:val="001B3F06"/>
    <w:rsid w:val="001C715A"/>
    <w:rsid w:val="001D4816"/>
    <w:rsid w:val="001F64CA"/>
    <w:rsid w:val="00203E46"/>
    <w:rsid w:val="00207621"/>
    <w:rsid w:val="00245625"/>
    <w:rsid w:val="002554CA"/>
    <w:rsid w:val="002D2C74"/>
    <w:rsid w:val="002E25F9"/>
    <w:rsid w:val="00346003"/>
    <w:rsid w:val="00350CF1"/>
    <w:rsid w:val="00354140"/>
    <w:rsid w:val="00362DE7"/>
    <w:rsid w:val="00373D68"/>
    <w:rsid w:val="00375EC8"/>
    <w:rsid w:val="00380C67"/>
    <w:rsid w:val="00390C4C"/>
    <w:rsid w:val="003971EB"/>
    <w:rsid w:val="003A523E"/>
    <w:rsid w:val="00401088"/>
    <w:rsid w:val="00405178"/>
    <w:rsid w:val="00417220"/>
    <w:rsid w:val="00424F57"/>
    <w:rsid w:val="00497FDE"/>
    <w:rsid w:val="004A0FC1"/>
    <w:rsid w:val="004A1477"/>
    <w:rsid w:val="004C7C3B"/>
    <w:rsid w:val="004D7B36"/>
    <w:rsid w:val="004E1A3A"/>
    <w:rsid w:val="004F5169"/>
    <w:rsid w:val="004F68DC"/>
    <w:rsid w:val="0050088E"/>
    <w:rsid w:val="0050297F"/>
    <w:rsid w:val="00514719"/>
    <w:rsid w:val="00541805"/>
    <w:rsid w:val="0055434B"/>
    <w:rsid w:val="005B4D4E"/>
    <w:rsid w:val="005E71E5"/>
    <w:rsid w:val="005F111B"/>
    <w:rsid w:val="005F7205"/>
    <w:rsid w:val="00627CCC"/>
    <w:rsid w:val="0065640F"/>
    <w:rsid w:val="006609A0"/>
    <w:rsid w:val="006B3E60"/>
    <w:rsid w:val="006B5BC9"/>
    <w:rsid w:val="006B5CD2"/>
    <w:rsid w:val="006B6CA0"/>
    <w:rsid w:val="006D30CA"/>
    <w:rsid w:val="006E5510"/>
    <w:rsid w:val="00704579"/>
    <w:rsid w:val="00710FC6"/>
    <w:rsid w:val="007433B4"/>
    <w:rsid w:val="00747DA7"/>
    <w:rsid w:val="00762DB3"/>
    <w:rsid w:val="00772631"/>
    <w:rsid w:val="007B06FD"/>
    <w:rsid w:val="007C32C7"/>
    <w:rsid w:val="007F02C7"/>
    <w:rsid w:val="00835404"/>
    <w:rsid w:val="00893CC4"/>
    <w:rsid w:val="008C31E1"/>
    <w:rsid w:val="00910086"/>
    <w:rsid w:val="00914AD3"/>
    <w:rsid w:val="00925C2B"/>
    <w:rsid w:val="00926650"/>
    <w:rsid w:val="009274FD"/>
    <w:rsid w:val="0093121F"/>
    <w:rsid w:val="00955288"/>
    <w:rsid w:val="00972922"/>
    <w:rsid w:val="009818B0"/>
    <w:rsid w:val="0099189C"/>
    <w:rsid w:val="00992754"/>
    <w:rsid w:val="009A6B2B"/>
    <w:rsid w:val="009D1F9E"/>
    <w:rsid w:val="009D5464"/>
    <w:rsid w:val="009F58F1"/>
    <w:rsid w:val="009F67BC"/>
    <w:rsid w:val="00A1275C"/>
    <w:rsid w:val="00A16D08"/>
    <w:rsid w:val="00A4343D"/>
    <w:rsid w:val="00A7702C"/>
    <w:rsid w:val="00AA7C2A"/>
    <w:rsid w:val="00B01EBF"/>
    <w:rsid w:val="00B10D84"/>
    <w:rsid w:val="00B3090F"/>
    <w:rsid w:val="00B32CBE"/>
    <w:rsid w:val="00B35365"/>
    <w:rsid w:val="00B56FA4"/>
    <w:rsid w:val="00B6414C"/>
    <w:rsid w:val="00B65CC9"/>
    <w:rsid w:val="00B94504"/>
    <w:rsid w:val="00B950F7"/>
    <w:rsid w:val="00B9535A"/>
    <w:rsid w:val="00BA21AC"/>
    <w:rsid w:val="00BB2FAB"/>
    <w:rsid w:val="00BB4036"/>
    <w:rsid w:val="00C04DF1"/>
    <w:rsid w:val="00C06903"/>
    <w:rsid w:val="00C2513E"/>
    <w:rsid w:val="00C30E67"/>
    <w:rsid w:val="00C32BE6"/>
    <w:rsid w:val="00C552A2"/>
    <w:rsid w:val="00C84897"/>
    <w:rsid w:val="00C85A34"/>
    <w:rsid w:val="00CA77B6"/>
    <w:rsid w:val="00CB5A77"/>
    <w:rsid w:val="00D13759"/>
    <w:rsid w:val="00D16F51"/>
    <w:rsid w:val="00D43527"/>
    <w:rsid w:val="00D4798A"/>
    <w:rsid w:val="00D723D4"/>
    <w:rsid w:val="00D7280A"/>
    <w:rsid w:val="00D909CF"/>
    <w:rsid w:val="00D93EB7"/>
    <w:rsid w:val="00DA7F91"/>
    <w:rsid w:val="00DD7478"/>
    <w:rsid w:val="00DE205D"/>
    <w:rsid w:val="00E04FFA"/>
    <w:rsid w:val="00E34E19"/>
    <w:rsid w:val="00E40AFC"/>
    <w:rsid w:val="00E50452"/>
    <w:rsid w:val="00E5421D"/>
    <w:rsid w:val="00E920A0"/>
    <w:rsid w:val="00E92A2A"/>
    <w:rsid w:val="00EA3F0D"/>
    <w:rsid w:val="00ED4C97"/>
    <w:rsid w:val="00F11709"/>
    <w:rsid w:val="00F144D0"/>
    <w:rsid w:val="00F164AF"/>
    <w:rsid w:val="00F31BE2"/>
    <w:rsid w:val="00F64D76"/>
    <w:rsid w:val="00FB0625"/>
    <w:rsid w:val="00FB1021"/>
    <w:rsid w:val="00FB1051"/>
    <w:rsid w:val="00FC4B89"/>
    <w:rsid w:val="00FE0402"/>
    <w:rsid w:val="00FE48AA"/>
    <w:rsid w:val="00FE5A6B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0824"/>
  <w15:chartTrackingRefBased/>
  <w15:docId w15:val="{9948901D-37E1-4FF1-954A-E013D3FD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dstrike w:val="0"/>
      <w:color w:val="auto"/>
      <w:sz w:val="20"/>
      <w:vertAlign w:val="baseline"/>
    </w:rPr>
  </w:style>
  <w:style w:type="character" w:styleId="Hyperlink">
    <w:name w:val="Hyperlink"/>
    <w:rPr>
      <w:rFonts w:ascii="Arial" w:hAnsi="Arial"/>
      <w:dstrike w:val="0"/>
      <w:color w:val="auto"/>
      <w:sz w:val="20"/>
      <w:u w:val="single"/>
      <w:bdr w:val="none" w:sz="0" w:space="0" w:color="auto"/>
      <w:vertAlign w:val="baseline"/>
    </w:rPr>
  </w:style>
  <w:style w:type="character" w:styleId="FollowedHyperlink">
    <w:name w:val="FollowedHyperlink"/>
    <w:rsid w:val="0050088E"/>
    <w:rPr>
      <w:rFonts w:ascii="Times New Roman" w:hAnsi="Times New Roman"/>
      <w:dstrike w:val="0"/>
      <w:sz w:val="20"/>
      <w:u w:val="single"/>
      <w:vertAlign w:val="baseline"/>
    </w:rPr>
  </w:style>
  <w:style w:type="paragraph" w:customStyle="1" w:styleId="BoilerPlate">
    <w:name w:val="Boiler Plate"/>
    <w:basedOn w:val="Normal"/>
    <w:rsid w:val="00ED4C97"/>
    <w:pPr>
      <w:widowControl/>
      <w:spacing w:after="240"/>
    </w:pPr>
    <w:rPr>
      <w:rFonts w:eastAsia="Times"/>
      <w:lang w:eastAsia="en-GB"/>
    </w:rPr>
  </w:style>
  <w:style w:type="paragraph" w:styleId="NormalWeb">
    <w:name w:val="Normal (Web)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color w:val="000000"/>
      <w:lang w:val="en-US"/>
    </w:rPr>
  </w:style>
  <w:style w:type="paragraph" w:customStyle="1" w:styleId="textbd">
    <w:name w:val="textbd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b/>
      <w:bC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locked/>
    <w:rsid w:val="00245625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24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ugpr.com/sundance/SMT003-1.jpg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versalogic.com/products/DS.asp?ProductID=246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flemming.c@sundance.co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humbugpr.com/sundance/SMT003-3.jpg" TargetMode="External"/><Relationship Id="rId17" Type="http://schemas.openxmlformats.org/officeDocument/2006/relationships/hyperlink" Target="http://www.sundance.technology/som-cariers/pc104-boards/emc%C2%B2-z7030-pc104-onebank-board-w-xilinx-zynq-z7030-soc-fpga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undance.technology/som-cariers/pc104-boards/emc2-ku35/" TargetMode="External"/><Relationship Id="rId20" Type="http://schemas.openxmlformats.org/officeDocument/2006/relationships/hyperlink" Target="http://www.sundanc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yperlink" Target="http://www.humbugpr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umbugpr.com/sundance/SMT003-2.jpg" TargetMode="External"/><Relationship Id="rId19" Type="http://schemas.openxmlformats.org/officeDocument/2006/relationships/hyperlink" Target="http://www.artemis-emc2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humbugpr.com/sundance/SMT003-4.jpg" TargetMode="External"/><Relationship Id="rId22" Type="http://schemas.openxmlformats.org/officeDocument/2006/relationships/hyperlink" Target="mailto:keith.mason@humbugpr.com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ocuments\Custom%20Office%20Templates\Press%20Releases\Sundance%20UK%20Pres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Sundance UK Press Press Release.dotx</Template>
  <TotalTime>4</TotalTime>
  <Pages>2</Pages>
  <Words>778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Sundance Press Release UK</vt:lpstr>
    </vt:vector>
  </TitlesOfParts>
  <Company>Humbug Public Relations</Company>
  <LinksUpToDate>false</LinksUpToDate>
  <CharactersWithSpaces>6015</CharactersWithSpaces>
  <SharedDoc>false</SharedDoc>
  <HLinks>
    <vt:vector size="30" baseType="variant">
      <vt:variant>
        <vt:i4>3276863</vt:i4>
      </vt:variant>
      <vt:variant>
        <vt:i4>12</vt:i4>
      </vt:variant>
      <vt:variant>
        <vt:i4>0</vt:i4>
      </vt:variant>
      <vt:variant>
        <vt:i4>5</vt:i4>
      </vt:variant>
      <vt:variant>
        <vt:lpwstr>http://www.humbugpr.com/portal</vt:lpwstr>
      </vt:variant>
      <vt:variant>
        <vt:lpwstr/>
      </vt:variant>
      <vt:variant>
        <vt:i4>4063324</vt:i4>
      </vt:variant>
      <vt:variant>
        <vt:i4>9</vt:i4>
      </vt:variant>
      <vt:variant>
        <vt:i4>0</vt:i4>
      </vt:variant>
      <vt:variant>
        <vt:i4>5</vt:i4>
      </vt:variant>
      <vt:variant>
        <vt:lpwstr>mailto:ann.williams@humbugpr.com</vt:lpwstr>
      </vt:variant>
      <vt:variant>
        <vt:lpwstr/>
      </vt:variant>
      <vt:variant>
        <vt:i4>3735642</vt:i4>
      </vt:variant>
      <vt:variant>
        <vt:i4>6</vt:i4>
      </vt:variant>
      <vt:variant>
        <vt:i4>0</vt:i4>
      </vt:variant>
      <vt:variant>
        <vt:i4>5</vt:i4>
      </vt:variant>
      <vt:variant>
        <vt:lpwstr>mailto:keith.mason@humbugpr.com</vt:lpwstr>
      </vt:variant>
      <vt:variant>
        <vt:lpwstr/>
      </vt:variant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mailto:flemming.c@sundance.com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http://www.sundance.com/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Sundance Press Release UK</dc:title>
  <dc:subject/>
  <dc:creator>Keith</dc:creator>
  <cp:keywords/>
  <cp:lastModifiedBy>Keith Mason</cp:lastModifiedBy>
  <cp:revision>2</cp:revision>
  <cp:lastPrinted>2000-04-13T10:02:00Z</cp:lastPrinted>
  <dcterms:created xsi:type="dcterms:W3CDTF">2016-06-10T12:48:00Z</dcterms:created>
  <dcterms:modified xsi:type="dcterms:W3CDTF">2016-06-10T12:48:00Z</dcterms:modified>
</cp:coreProperties>
</file>